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DD" w:rsidRDefault="006D4EDD" w:rsidP="0007308D">
      <w:pPr>
        <w:pStyle w:val="a3"/>
        <w:shd w:val="clear" w:color="auto" w:fill="FFFFFF"/>
        <w:spacing w:before="0" w:beforeAutospacing="0" w:after="188" w:afterAutospacing="0"/>
        <w:jc w:val="both"/>
        <w:rPr>
          <w:rStyle w:val="a4"/>
        </w:rPr>
      </w:pPr>
      <w:r>
        <w:rPr>
          <w:rStyle w:val="a4"/>
        </w:rPr>
        <w:t>КГУ «</w:t>
      </w:r>
      <w:proofErr w:type="spellStart"/>
      <w:r>
        <w:rPr>
          <w:rStyle w:val="a4"/>
        </w:rPr>
        <w:t>Алчановская</w:t>
      </w:r>
      <w:proofErr w:type="spellEnd"/>
      <w:r>
        <w:rPr>
          <w:rStyle w:val="a4"/>
        </w:rPr>
        <w:t xml:space="preserve"> основная средняя школа отдела образования </w:t>
      </w:r>
      <w:proofErr w:type="spellStart"/>
      <w:r>
        <w:rPr>
          <w:rStyle w:val="a4"/>
        </w:rPr>
        <w:t>Денисовского</w:t>
      </w:r>
      <w:proofErr w:type="spellEnd"/>
      <w:r>
        <w:rPr>
          <w:rStyle w:val="a4"/>
        </w:rPr>
        <w:t xml:space="preserve"> района» УОАКО</w:t>
      </w:r>
    </w:p>
    <w:p w:rsidR="006D4EDD" w:rsidRDefault="006D4EDD" w:rsidP="0007308D">
      <w:pPr>
        <w:pStyle w:val="a3"/>
        <w:shd w:val="clear" w:color="auto" w:fill="FFFFFF"/>
        <w:spacing w:before="0" w:beforeAutospacing="0" w:after="188" w:afterAutospacing="0"/>
        <w:jc w:val="both"/>
        <w:rPr>
          <w:rStyle w:val="a4"/>
        </w:rPr>
      </w:pPr>
      <w:r>
        <w:rPr>
          <w:rStyle w:val="a4"/>
        </w:rPr>
        <w:t>Учитель информатики: Рыбинок Е.В.</w:t>
      </w:r>
    </w:p>
    <w:p w:rsidR="00610DE3" w:rsidRDefault="00610DE3" w:rsidP="006D4EDD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bCs/>
          <w:sz w:val="28"/>
          <w:szCs w:val="28"/>
        </w:rPr>
      </w:pPr>
    </w:p>
    <w:p w:rsidR="006D4EDD" w:rsidRDefault="00610DE3" w:rsidP="006D4EDD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bCs/>
          <w:sz w:val="28"/>
          <w:szCs w:val="28"/>
        </w:rPr>
      </w:pPr>
      <w:r w:rsidRPr="00610DE3">
        <w:rPr>
          <w:b/>
          <w:bCs/>
          <w:sz w:val="28"/>
          <w:szCs w:val="28"/>
        </w:rPr>
        <w:t>Формирование функциональной грамотности обучающихся средствами цифровых образовательных ресурсов и сервисов</w:t>
      </w:r>
      <w:r w:rsidR="00F161BA">
        <w:rPr>
          <w:b/>
          <w:bCs/>
          <w:sz w:val="28"/>
          <w:szCs w:val="28"/>
        </w:rPr>
        <w:t>.</w:t>
      </w:r>
    </w:p>
    <w:p w:rsidR="00F161BA" w:rsidRPr="00610DE3" w:rsidRDefault="00F161BA" w:rsidP="006D4EDD">
      <w:pPr>
        <w:pStyle w:val="a3"/>
        <w:shd w:val="clear" w:color="auto" w:fill="FFFFFF"/>
        <w:spacing w:before="0" w:beforeAutospacing="0" w:after="188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rPr>
          <w:rStyle w:val="a4"/>
        </w:rPr>
        <w:t>Как пройдет исследование PISA в 2025 году?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В 2025 году пройдет девятый цикл исследования PISA, в котором примут участие 89 стран мира. PISA – это международная программа по оценке образовательных достижений учащихся, которая проводится для определения способности 15-летних детей использовать свои знания и навыки в области чтения, математики и естественных наук для решения реальных жизненных задач.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Программой PISA кроме трех основных направлений оценивается одно инновационное направление, которое меняется каждый цикл. Кроме этого, в каждом цикле поочередно одно из трех направлений исследования выбирается в качестве акцентного. В 2025 году акцентным направлением станет естественнонаучная грамотность и это означает, что большая часть вопросов и заданий будет посвящена оцениванию именно этого направления.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rPr>
          <w:rStyle w:val="a4"/>
        </w:rPr>
        <w:t>Итак, что же нового в цикле PISA-2025?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Обновлена рамка оценивания естественнонаучной грамотности. Рамка оценивания позволяет определить компетенции, которые формируются в результате естественнонаучного образования, виды знаний, необходимые обучающимся для формирования этих компетенций, и виды контекстов, в которых обучающиеся сталкиваются с проблемами и вопросами в области естественных наук в реальной жизни.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В 2025 году рамка PISA расширит понятие «естественно-научной грамотности», которое теперь включает более обширные результаты естественнонаучного образования. Согласно определению, естественно-научная грамотность подразумевает умение аргументированно рассуждать о науке, об устойчивом развитии и технологиях для обоснования действий. Для этого необходимы такие навыки, как: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1) умение объяснять природные и технологические явления с научной точки зрения;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2) умение разрабатывать и оценивать проекты научных исследований, а также интерпретировать научные данные и доказательства с критической точки зрения;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3) умение исследовать вопросы глобального, местного или личного характера, оценивать научную информацию и использовать ее для принятия решений и совершения информированных действий.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 xml:space="preserve">Кроме того, в рамку оценивания добавлена концепция «Способность действовать в эпоху </w:t>
      </w:r>
      <w:proofErr w:type="spellStart"/>
      <w:r w:rsidRPr="007A1299">
        <w:t>антропоцена</w:t>
      </w:r>
      <w:proofErr w:type="spellEnd"/>
      <w:r w:rsidRPr="007A1299">
        <w:t>», определяющая ряд компетенций, направленных на решение вопросов окружающей среды, устойчивости в эпоху высокой человеческой активности и влияния на природу. Изменениям также подверглись концепция факторов влияния на компетенции обучающихся, фокус которого переместился с отношения к естествознанию на измерение более широкой концепции - «самоопределение по отношению к естественным наукам».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lastRenderedPageBreak/>
        <w:t>В июне текущего года опубликована рамка по естественным наукам и примеры заданий на 25 языках мира, в том числе на </w:t>
      </w:r>
      <w:hyperlink r:id="rId5" w:history="1">
        <w:r w:rsidRPr="007A1299">
          <w:rPr>
            <w:rStyle w:val="a5"/>
            <w:color w:val="auto"/>
          </w:rPr>
          <w:t>казахском </w:t>
        </w:r>
      </w:hyperlink>
      <w:r w:rsidRPr="007A1299">
        <w:t>и </w:t>
      </w:r>
      <w:hyperlink r:id="rId6" w:history="1">
        <w:r w:rsidRPr="007A1299">
          <w:rPr>
            <w:rStyle w:val="a5"/>
            <w:color w:val="auto"/>
          </w:rPr>
          <w:t>русском </w:t>
        </w:r>
      </w:hyperlink>
      <w:r w:rsidRPr="007A1299">
        <w:t>языках.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rPr>
          <w:rStyle w:val="a4"/>
        </w:rPr>
        <w:t>«Обучение в цифровом мире» - инновационное направление PISA-2025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 xml:space="preserve">В ходе программы PISA оцениваются читательская, математическая и естественнонаучная грамотность. С 2012 года помимо трех перечисленных направлений оценивается и четвертое (инновационное) направление, которое меняется каждый цикл. Так, в 2012 году инновационным направлением исследования было креативное решение проблем, в 2015 – </w:t>
      </w:r>
      <w:proofErr w:type="spellStart"/>
      <w:r w:rsidRPr="007A1299">
        <w:t>коллаборативное</w:t>
      </w:r>
      <w:proofErr w:type="spellEnd"/>
      <w:r w:rsidRPr="007A1299">
        <w:t xml:space="preserve"> решение проблем, в 2018 – глобальные компетенции, в 2022 – креативное мышление. В 2025 году инновационным направлением станет обучение в цифровом мире (</w:t>
      </w:r>
      <w:proofErr w:type="spellStart"/>
      <w:r w:rsidRPr="007A1299">
        <w:rPr>
          <w:rStyle w:val="a6"/>
        </w:rPr>
        <w:t>learning</w:t>
      </w:r>
      <w:proofErr w:type="spellEnd"/>
      <w:r w:rsidRPr="007A1299">
        <w:rPr>
          <w:rStyle w:val="a6"/>
        </w:rPr>
        <w:t xml:space="preserve"> </w:t>
      </w:r>
      <w:proofErr w:type="spellStart"/>
      <w:r w:rsidRPr="007A1299">
        <w:rPr>
          <w:rStyle w:val="a6"/>
        </w:rPr>
        <w:t>in</w:t>
      </w:r>
      <w:proofErr w:type="spellEnd"/>
      <w:r w:rsidRPr="007A1299">
        <w:rPr>
          <w:rStyle w:val="a6"/>
        </w:rPr>
        <w:t xml:space="preserve"> </w:t>
      </w:r>
      <w:proofErr w:type="spellStart"/>
      <w:r w:rsidRPr="007A1299">
        <w:rPr>
          <w:rStyle w:val="a6"/>
        </w:rPr>
        <w:t>the</w:t>
      </w:r>
      <w:proofErr w:type="spellEnd"/>
      <w:r w:rsidRPr="007A1299">
        <w:rPr>
          <w:rStyle w:val="a6"/>
        </w:rPr>
        <w:t xml:space="preserve"> </w:t>
      </w:r>
      <w:proofErr w:type="spellStart"/>
      <w:r w:rsidRPr="007A1299">
        <w:rPr>
          <w:rStyle w:val="a6"/>
        </w:rPr>
        <w:t>digital</w:t>
      </w:r>
      <w:proofErr w:type="spellEnd"/>
      <w:r w:rsidRPr="007A1299">
        <w:rPr>
          <w:rStyle w:val="a6"/>
        </w:rPr>
        <w:t xml:space="preserve"> </w:t>
      </w:r>
      <w:proofErr w:type="spellStart"/>
      <w:r w:rsidRPr="007A1299">
        <w:rPr>
          <w:rStyle w:val="a6"/>
        </w:rPr>
        <w:t>world</w:t>
      </w:r>
      <w:proofErr w:type="spellEnd"/>
      <w:r w:rsidRPr="007A1299">
        <w:t>).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Включение оценивания инновационного направления в рамку оценивания исследования позволяет расширить понятие функциональной грамотности. Кроме того, оно дает возможность более полно оценить уровень «готовности к реальной жизни» 15-летних обучающихся.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Цель оценивания обучения в цифровом мире: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1) определить степень того, насколько обучающиеся способны быть успешными, самостоятельными в цифровом мире;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2) предоставить актуальные и сопоставимые данные об использовании цифровых технологий в образовании и результатах обучения обучающихся.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Данное направление оценивает готовность тестируемых к самостоятельному обучению в цифровом пространстве. Задания предназначены для оценки способности учащихся изучать новые концепции и использовать инструменты (например, программы, симуляции, модели) для решения задач в цифровом мире. Учащиеся выполняют два блока заданий (или модуля) по 30 минут, которые состоят из четырех этапов: пре-тест для определения уровня, интерактивное обучение, практическая часть, решение задачи.</w:t>
      </w:r>
    </w:p>
    <w:p w:rsidR="0007308D" w:rsidRPr="007A1299" w:rsidRDefault="0007308D" w:rsidP="0007308D">
      <w:pPr>
        <w:pStyle w:val="a3"/>
        <w:shd w:val="clear" w:color="auto" w:fill="FFFFFF"/>
        <w:spacing w:before="0" w:beforeAutospacing="0" w:after="188" w:afterAutospacing="0"/>
        <w:jc w:val="both"/>
      </w:pPr>
      <w:r w:rsidRPr="007A1299">
        <w:t>Тестирование способно отслеживать действия обучающихся, чтобы измерить, какой прогресс они делают в достижении своих целей на протяжении всего задания и насколько хорошо они используют учебные ресурсы (примеры, подсказки и обратную связь).</w:t>
      </w:r>
    </w:p>
    <w:p w:rsidR="00BD0D21" w:rsidRDefault="00E3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«Сохранение природы</w:t>
      </w:r>
      <w:r w:rsidR="00E33AC7">
        <w:rPr>
          <w:rFonts w:ascii="Times New Roman" w:hAnsi="Times New Roman" w:cs="Times New Roman"/>
          <w:sz w:val="24"/>
          <w:szCs w:val="24"/>
        </w:rPr>
        <w:t>»</w:t>
      </w:r>
    </w:p>
    <w:p w:rsidR="008F3D64" w:rsidRPr="008F3D64" w:rsidRDefault="008F3D64" w:rsidP="008F3D64">
      <w:pPr>
        <w:tabs>
          <w:tab w:val="left" w:pos="1709"/>
        </w:tabs>
        <w:spacing w:before="172"/>
        <w:ind w:right="706"/>
        <w:rPr>
          <w:rFonts w:ascii="Times New Roman" w:hAnsi="Times New Roman" w:cs="Times New Roman"/>
        </w:rPr>
      </w:pPr>
      <w:r w:rsidRPr="008F3D64">
        <w:rPr>
          <w:rFonts w:ascii="Times New Roman" w:hAnsi="Times New Roman" w:cs="Times New Roman"/>
        </w:rPr>
        <w:t>Ключевые элементы и возможности открытых интерактивных задач в ка</w:t>
      </w:r>
      <w:r w:rsidR="00E32EC4">
        <w:rPr>
          <w:rFonts w:ascii="Times New Roman" w:hAnsi="Times New Roman" w:cs="Times New Roman"/>
        </w:rPr>
        <w:t xml:space="preserve">ждой учебной среде перечислены </w:t>
      </w:r>
      <w:hyperlink w:anchor="_bookmark21" w:history="1">
        <w:r w:rsidRPr="008F3D64">
          <w:rPr>
            <w:rFonts w:ascii="Times New Roman" w:hAnsi="Times New Roman" w:cs="Times New Roman"/>
          </w:rPr>
          <w:t>Рисунок 2.</w:t>
        </w:r>
      </w:hyperlink>
      <w:r w:rsidRPr="008F3D64">
        <w:rPr>
          <w:rFonts w:ascii="Times New Roman" w:hAnsi="Times New Roman" w:cs="Times New Roman"/>
        </w:rPr>
        <w:t>Они включают в себя: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before="120" w:line="259" w:lineRule="auto"/>
        <w:ind w:right="708"/>
        <w:jc w:val="both"/>
        <w:rPr>
          <w:lang w:val="ru-RU"/>
        </w:rPr>
      </w:pPr>
      <w:r w:rsidRPr="008F3D64">
        <w:rPr>
          <w:u w:val="single"/>
          <w:lang w:val="ru-RU"/>
        </w:rPr>
        <w:t>Инструкции по заданию и место для вопросов:</w:t>
      </w:r>
      <w:r w:rsidRPr="008F3D64">
        <w:rPr>
          <w:spacing w:val="-14"/>
          <w:lang w:val="ru-RU"/>
        </w:rPr>
        <w:t xml:space="preserve"> </w:t>
      </w:r>
      <w:r w:rsidRPr="008F3D64">
        <w:rPr>
          <w:lang w:val="ru-RU"/>
        </w:rPr>
        <w:t>Это пространство содержит инструкции к заданию. Цель задания может быть представлена ​​визуально, например, путем отображения желаемого конечного состояния среды. В некоторых заданиях ученикам может потребоваться ответить на вопросы в этом пространстве после создания и взаимодействия с вычислительными артефактами.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9" w:lineRule="auto"/>
        <w:ind w:right="704"/>
        <w:jc w:val="both"/>
        <w:rPr>
          <w:lang w:val="ru-RU"/>
        </w:rPr>
      </w:pPr>
      <w:r w:rsidRPr="008F3D64">
        <w:rPr>
          <w:u w:val="single"/>
          <w:lang w:val="ru-RU"/>
        </w:rPr>
        <w:t xml:space="preserve">Рабочее </w:t>
      </w:r>
      <w:proofErr w:type="spellStart"/>
      <w:proofErr w:type="gramStart"/>
      <w:r w:rsidRPr="008F3D64">
        <w:rPr>
          <w:u w:val="single"/>
          <w:lang w:val="ru-RU"/>
        </w:rPr>
        <w:t>пространство:</w:t>
      </w:r>
      <w:r w:rsidRPr="008F3D64">
        <w:rPr>
          <w:lang w:val="ru-RU"/>
        </w:rPr>
        <w:t>Студенты</w:t>
      </w:r>
      <w:proofErr w:type="spellEnd"/>
      <w:proofErr w:type="gramEnd"/>
      <w:r w:rsidRPr="008F3D64">
        <w:rPr>
          <w:lang w:val="ru-RU"/>
        </w:rPr>
        <w:t xml:space="preserve"> создают свой вычислительный артефакт (например, алгоритм, модель, симуляцию) и просматривают его вывод (например, графики, таблицы данных) в рабочей области. Макет рабочей области зависит от вычислительного инструмента(</w:t>
      </w:r>
      <w:proofErr w:type="spellStart"/>
      <w:r w:rsidRPr="008F3D64">
        <w:rPr>
          <w:lang w:val="ru-RU"/>
        </w:rPr>
        <w:t>ов</w:t>
      </w:r>
      <w:proofErr w:type="spellEnd"/>
      <w:r w:rsidRPr="008F3D64">
        <w:rPr>
          <w:lang w:val="ru-RU"/>
        </w:rPr>
        <w:t xml:space="preserve">) в каждом блоке. В примере </w:t>
      </w:r>
      <w:proofErr w:type="spellStart"/>
      <w:r w:rsidRPr="008F3D64">
        <w:rPr>
          <w:lang w:val="ru-RU"/>
        </w:rPr>
        <w:t>в</w:t>
      </w:r>
      <w:hyperlink w:anchor="_bookmark21" w:history="1">
        <w:r w:rsidRPr="008F3D64">
          <w:rPr>
            <w:lang w:val="ru-RU"/>
          </w:rPr>
          <w:t>Рисунок</w:t>
        </w:r>
        <w:proofErr w:type="spellEnd"/>
        <w:r w:rsidRPr="008F3D64">
          <w:rPr>
            <w:lang w:val="ru-RU"/>
          </w:rPr>
          <w:t xml:space="preserve"> 2,</w:t>
        </w:r>
      </w:hyperlink>
      <w:r w:rsidRPr="008F3D64">
        <w:rPr>
          <w:lang w:val="ru-RU"/>
        </w:rPr>
        <w:t xml:space="preserve">рабочая область содержит инструмент построения графиков (вкладка «Данные»), отчет биолога (вкладка «Отчет </w:t>
      </w:r>
      <w:r w:rsidRPr="008F3D64">
        <w:rPr>
          <w:lang w:val="ru-RU"/>
        </w:rPr>
        <w:lastRenderedPageBreak/>
        <w:t>биолога 1») и инструмент картирования концепций (вкладка «Модель»).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9" w:lineRule="auto"/>
        <w:ind w:right="707"/>
        <w:jc w:val="both"/>
        <w:rPr>
          <w:lang w:val="ru-RU"/>
        </w:rPr>
      </w:pPr>
      <w:r w:rsidRPr="008F3D64">
        <w:rPr>
          <w:u w:val="single"/>
          <w:lang w:val="ru-RU"/>
        </w:rPr>
        <w:t>Тестовая функция:</w:t>
      </w:r>
      <w:r w:rsidRPr="008F3D64">
        <w:rPr>
          <w:spacing w:val="-6"/>
          <w:lang w:val="ru-RU"/>
        </w:rPr>
        <w:t xml:space="preserve"> </w:t>
      </w:r>
      <w:r w:rsidRPr="008F3D64">
        <w:rPr>
          <w:lang w:val="ru-RU"/>
        </w:rPr>
        <w:t>Студенты получают немедленную обратную связь о качестве своего вычислительного артефакта, используя кнопку теста. Точная форма обратной связи зависит от типа вычислительного инструмента и артефакта (например, визуальная обратная связь в среде блочного программирования). В этом примере данные из реального явления и из модели студентов можно визуализировать и сравнить с помощью графического инструмента на вкладке «Данные».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9" w:lineRule="auto"/>
        <w:ind w:right="711"/>
        <w:jc w:val="both"/>
      </w:pPr>
      <w:proofErr w:type="spellStart"/>
      <w:r w:rsidRPr="008F3D64">
        <w:rPr>
          <w:u w:val="single"/>
          <w:lang w:val="ru-RU"/>
        </w:rPr>
        <w:t>Примеры:</w:t>
      </w:r>
      <w:r w:rsidRPr="008F3D64">
        <w:rPr>
          <w:lang w:val="ru-RU"/>
        </w:rPr>
        <w:t>Студенты</w:t>
      </w:r>
      <w:proofErr w:type="spellEnd"/>
      <w:r w:rsidRPr="008F3D64">
        <w:rPr>
          <w:lang w:val="ru-RU"/>
        </w:rPr>
        <w:t xml:space="preserve"> могут просматривать (а иногда и взаимодействовать) функциональное и аннотированное решение аналогичной задачи (см.</w:t>
      </w:r>
      <w:hyperlink w:anchor="_bookmark22" w:history="1">
        <w:r w:rsidRPr="008F3D64">
          <w:t>Рисунок 3</w:t>
        </w:r>
      </w:hyperlink>
      <w:r w:rsidRPr="008F3D64">
        <w:t>).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9" w:lineRule="auto"/>
        <w:ind w:right="704"/>
        <w:jc w:val="both"/>
        <w:rPr>
          <w:lang w:val="ru-RU"/>
        </w:rPr>
      </w:pPr>
      <w:r w:rsidRPr="008F3D64">
        <w:rPr>
          <w:u w:val="single"/>
          <w:lang w:val="ru-RU"/>
        </w:rPr>
        <w:t xml:space="preserve">Индикатор </w:t>
      </w:r>
      <w:proofErr w:type="spellStart"/>
      <w:proofErr w:type="gramStart"/>
      <w:r w:rsidRPr="008F3D64">
        <w:rPr>
          <w:u w:val="single"/>
          <w:lang w:val="ru-RU"/>
        </w:rPr>
        <w:t>прогресса:</w:t>
      </w:r>
      <w:r w:rsidRPr="008F3D64">
        <w:rPr>
          <w:lang w:val="ru-RU"/>
        </w:rPr>
        <w:t>Индикатор</w:t>
      </w:r>
      <w:proofErr w:type="spellEnd"/>
      <w:proofErr w:type="gramEnd"/>
      <w:r w:rsidRPr="008F3D64">
        <w:rPr>
          <w:lang w:val="ru-RU"/>
        </w:rPr>
        <w:t xml:space="preserve"> выполнения дает учащимся визуальную подсказку о количестве элементов (светло-голубые точки) на данном этапе модуля, а также о элементах, которые были выполнены (темно-синие точки).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9" w:lineRule="auto"/>
        <w:ind w:right="711"/>
        <w:jc w:val="both"/>
        <w:rPr>
          <w:lang w:val="ru-RU"/>
        </w:rPr>
      </w:pPr>
      <w:proofErr w:type="spellStart"/>
      <w:proofErr w:type="gramStart"/>
      <w:r w:rsidRPr="008F3D64">
        <w:rPr>
          <w:u w:val="single"/>
          <w:lang w:val="ru-RU"/>
        </w:rPr>
        <w:t>Таймер:</w:t>
      </w:r>
      <w:r w:rsidRPr="008F3D64">
        <w:rPr>
          <w:lang w:val="ru-RU"/>
        </w:rPr>
        <w:t>Цифровые</w:t>
      </w:r>
      <w:proofErr w:type="spellEnd"/>
      <w:proofErr w:type="gramEnd"/>
      <w:r w:rsidRPr="008F3D64">
        <w:rPr>
          <w:lang w:val="ru-RU"/>
        </w:rPr>
        <w:t xml:space="preserve"> часы показывают оставшееся время на каждой фазе работы устройства.</w:t>
      </w:r>
    </w:p>
    <w:p w:rsidR="008F3D64" w:rsidRPr="008F3D64" w:rsidRDefault="008F3D64" w:rsidP="008F3D64">
      <w:pPr>
        <w:pStyle w:val="a7"/>
        <w:numPr>
          <w:ilvl w:val="0"/>
          <w:numId w:val="1"/>
        </w:numPr>
        <w:tabs>
          <w:tab w:val="left" w:pos="2431"/>
        </w:tabs>
        <w:spacing w:line="256" w:lineRule="auto"/>
        <w:ind w:right="707"/>
        <w:jc w:val="both"/>
        <w:rPr>
          <w:lang w:val="ru-RU"/>
        </w:rPr>
      </w:pPr>
      <w:r w:rsidRPr="008F3D64">
        <w:rPr>
          <w:u w:val="single"/>
          <w:lang w:val="ru-RU"/>
        </w:rPr>
        <w:t>Кнопка «</w:t>
      </w:r>
      <w:proofErr w:type="spellStart"/>
      <w:r w:rsidRPr="008F3D64">
        <w:rPr>
          <w:u w:val="single"/>
          <w:lang w:val="ru-RU"/>
        </w:rPr>
        <w:t>Отправить</w:t>
      </w:r>
      <w:proofErr w:type="gramStart"/>
      <w:r w:rsidRPr="008F3D64">
        <w:rPr>
          <w:u w:val="single"/>
          <w:lang w:val="ru-RU"/>
        </w:rPr>
        <w:t>»:</w:t>
      </w:r>
      <w:r w:rsidRPr="008F3D64">
        <w:rPr>
          <w:lang w:val="ru-RU"/>
        </w:rPr>
        <w:t>Студенты</w:t>
      </w:r>
      <w:proofErr w:type="spellEnd"/>
      <w:proofErr w:type="gramEnd"/>
      <w:r w:rsidRPr="008F3D64">
        <w:rPr>
          <w:lang w:val="ru-RU"/>
        </w:rPr>
        <w:t xml:space="preserve"> нажимают здесь, чтобы отправить свое решение и перейти к следующему пункту.</w:t>
      </w:r>
    </w:p>
    <w:p w:rsidR="008F3D64" w:rsidRPr="008F3D64" w:rsidRDefault="008F3D64">
      <w:pPr>
        <w:rPr>
          <w:rFonts w:ascii="Times New Roman" w:hAnsi="Times New Roman" w:cs="Times New Roman"/>
          <w:sz w:val="24"/>
          <w:szCs w:val="24"/>
        </w:rPr>
      </w:pPr>
    </w:p>
    <w:sectPr w:rsidR="008F3D64" w:rsidRPr="008F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E5E"/>
    <w:multiLevelType w:val="hybridMultilevel"/>
    <w:tmpl w:val="00947826"/>
    <w:lvl w:ilvl="0" w:tplc="EC365F74">
      <w:start w:val="6"/>
      <w:numFmt w:val="decimal"/>
      <w:lvlText w:val="%1."/>
      <w:lvlJc w:val="left"/>
      <w:pPr>
        <w:ind w:left="99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487E38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83C4D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14E02EA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4" w:tplc="FABC8190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5" w:tplc="F8BE3A64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6" w:tplc="8A22B08C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7" w:tplc="6176594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52808E0C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0F3125"/>
    <w:multiLevelType w:val="hybridMultilevel"/>
    <w:tmpl w:val="43069D72"/>
    <w:lvl w:ilvl="0" w:tplc="B19A0610">
      <w:start w:val="1"/>
      <w:numFmt w:val="decimal"/>
      <w:lvlText w:val="%1."/>
      <w:lvlJc w:val="left"/>
      <w:pPr>
        <w:ind w:left="24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FCE338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2" w:tplc="75BC25CC">
      <w:numFmt w:val="bullet"/>
      <w:lvlText w:val="•"/>
      <w:lvlJc w:val="left"/>
      <w:pPr>
        <w:ind w:left="3879" w:hanging="361"/>
      </w:pPr>
      <w:rPr>
        <w:rFonts w:hint="default"/>
        <w:lang w:val="en-US" w:eastAsia="en-US" w:bidi="ar-SA"/>
      </w:rPr>
    </w:lvl>
    <w:lvl w:ilvl="3" w:tplc="7DA832D8">
      <w:numFmt w:val="bullet"/>
      <w:lvlText w:val="•"/>
      <w:lvlJc w:val="left"/>
      <w:pPr>
        <w:ind w:left="4599" w:hanging="361"/>
      </w:pPr>
      <w:rPr>
        <w:rFonts w:hint="default"/>
        <w:lang w:val="en-US" w:eastAsia="en-US" w:bidi="ar-SA"/>
      </w:rPr>
    </w:lvl>
    <w:lvl w:ilvl="4" w:tplc="09EE4C78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ar-SA"/>
      </w:rPr>
    </w:lvl>
    <w:lvl w:ilvl="5" w:tplc="007832C4">
      <w:numFmt w:val="bullet"/>
      <w:lvlText w:val="•"/>
      <w:lvlJc w:val="left"/>
      <w:pPr>
        <w:ind w:left="6039" w:hanging="361"/>
      </w:pPr>
      <w:rPr>
        <w:rFonts w:hint="default"/>
        <w:lang w:val="en-US" w:eastAsia="en-US" w:bidi="ar-SA"/>
      </w:rPr>
    </w:lvl>
    <w:lvl w:ilvl="6" w:tplc="09BCB8D2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DA5CA752">
      <w:numFmt w:val="bullet"/>
      <w:lvlText w:val="•"/>
      <w:lvlJc w:val="left"/>
      <w:pPr>
        <w:ind w:left="7479" w:hanging="361"/>
      </w:pPr>
      <w:rPr>
        <w:rFonts w:hint="default"/>
        <w:lang w:val="en-US" w:eastAsia="en-US" w:bidi="ar-SA"/>
      </w:rPr>
    </w:lvl>
    <w:lvl w:ilvl="8" w:tplc="8A848BCE">
      <w:numFmt w:val="bullet"/>
      <w:lvlText w:val="•"/>
      <w:lvlJc w:val="left"/>
      <w:pPr>
        <w:ind w:left="819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5"/>
    <w:rsid w:val="0007308D"/>
    <w:rsid w:val="00341C15"/>
    <w:rsid w:val="00610DE3"/>
    <w:rsid w:val="006D4EDD"/>
    <w:rsid w:val="007A1299"/>
    <w:rsid w:val="008F3D64"/>
    <w:rsid w:val="00BD0D21"/>
    <w:rsid w:val="00E32EC4"/>
    <w:rsid w:val="00E33AC7"/>
    <w:rsid w:val="00F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2DE2"/>
  <w15:chartTrackingRefBased/>
  <w15:docId w15:val="{90F97192-C9C1-45DF-BDD4-88B66CD9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8D"/>
    <w:rPr>
      <w:b/>
      <w:bCs/>
    </w:rPr>
  </w:style>
  <w:style w:type="character" w:styleId="a5">
    <w:name w:val="Hyperlink"/>
    <w:basedOn w:val="a0"/>
    <w:uiPriority w:val="99"/>
    <w:semiHidden/>
    <w:unhideWhenUsed/>
    <w:rsid w:val="0007308D"/>
    <w:rPr>
      <w:color w:val="0000FF"/>
      <w:u w:val="single"/>
    </w:rPr>
  </w:style>
  <w:style w:type="character" w:styleId="a6">
    <w:name w:val="Emphasis"/>
    <w:basedOn w:val="a0"/>
    <w:uiPriority w:val="20"/>
    <w:qFormat/>
    <w:rsid w:val="0007308D"/>
    <w:rPr>
      <w:i/>
      <w:iCs/>
    </w:rPr>
  </w:style>
  <w:style w:type="paragraph" w:styleId="a7">
    <w:name w:val="List Paragraph"/>
    <w:basedOn w:val="a"/>
    <w:uiPriority w:val="1"/>
    <w:qFormat/>
    <w:rsid w:val="008F3D64"/>
    <w:pPr>
      <w:widowControl w:val="0"/>
      <w:autoSpaceDE w:val="0"/>
      <w:autoSpaceDN w:val="0"/>
      <w:spacing w:after="0" w:line="240" w:lineRule="auto"/>
      <w:ind w:left="99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a-framework.oecd.org/science-2025/kaz_rus/" TargetMode="External"/><Relationship Id="rId5" Type="http://schemas.openxmlformats.org/officeDocument/2006/relationships/hyperlink" Target="https://pisa-framework.oecd.org/science-2025/kaz_ka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1031</Words>
  <Characters>5880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2025-01-02T19:19:00Z</dcterms:created>
  <dcterms:modified xsi:type="dcterms:W3CDTF">2025-01-09T15:57:00Z</dcterms:modified>
</cp:coreProperties>
</file>